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 HT-XHZX-A1026-2022-0003》号业务批量预拌混凝土供应采购项目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二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七</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邱天</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 HT-XHZX-A1026-2022-0003》号业务批量预拌混凝土供应采购项目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信息价</w:t>
            </w:r>
            <w:r>
              <w:rPr>
                <w:rFonts w:hint="default" w:ascii="宋体" w:hAnsi="宋体" w:eastAsia="宋体" w:cs="宋体"/>
                <w:color w:val="000000"/>
                <w:kern w:val="0"/>
                <w:sz w:val="24"/>
                <w:highlight w:val="none"/>
                <w:lang w:val="en-US" w:eastAsia="zh-CN"/>
              </w:rPr>
              <w:t>【相应规格】对应的单价下浮【</w:t>
            </w:r>
            <w:r>
              <w:rPr>
                <w:rFonts w:hint="eastAsia" w:ascii="宋体" w:hAnsi="宋体" w:cs="宋体"/>
                <w:color w:val="000000"/>
                <w:kern w:val="0"/>
                <w:sz w:val="24"/>
                <w:highlight w:val="none"/>
                <w:lang w:val="en-US" w:eastAsia="zh-CN"/>
              </w:rPr>
              <w:t>27%</w:t>
            </w:r>
            <w:r>
              <w:rPr>
                <w:rFonts w:hint="default" w:ascii="宋体" w:hAnsi="宋体" w:eastAsia="宋体" w:cs="宋体"/>
                <w:color w:val="000000"/>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请于2022年</w:t>
            </w:r>
            <w:r>
              <w:rPr>
                <w:rFonts w:hint="eastAsia" w:ascii="宋体" w:hAnsi="宋体" w:cs="宋体"/>
                <w:b w:val="0"/>
                <w:bCs w:val="0"/>
                <w:kern w:val="2"/>
                <w:sz w:val="21"/>
                <w:szCs w:val="24"/>
                <w:highlight w:val="none"/>
                <w:lang w:val="en-US" w:eastAsia="zh-CN" w:bidi="ar-SA"/>
              </w:rPr>
              <w:t>7</w:t>
            </w:r>
            <w:r>
              <w:rPr>
                <w:rFonts w:hint="eastAsia" w:ascii="宋体" w:hAnsi="宋体" w:eastAsia="宋体" w:cs="宋体"/>
                <w:b w:val="0"/>
                <w:bCs w:val="0"/>
                <w:kern w:val="2"/>
                <w:sz w:val="21"/>
                <w:szCs w:val="24"/>
                <w:highlight w:val="none"/>
                <w:lang w:val="en-US" w:eastAsia="zh-CN" w:bidi="ar-SA"/>
              </w:rPr>
              <w:t xml:space="preserve">月 </w:t>
            </w:r>
            <w:r>
              <w:rPr>
                <w:rFonts w:hint="eastAsia" w:ascii="宋体" w:hAnsi="宋体" w:cs="宋体"/>
                <w:b w:val="0"/>
                <w:bCs w:val="0"/>
                <w:kern w:val="2"/>
                <w:sz w:val="21"/>
                <w:szCs w:val="24"/>
                <w:highlight w:val="none"/>
                <w:lang w:val="en-US" w:eastAsia="zh-CN" w:bidi="ar-SA"/>
              </w:rPr>
              <w:t>26</w:t>
            </w:r>
            <w:r>
              <w:rPr>
                <w:rFonts w:hint="eastAsia" w:ascii="宋体" w:hAnsi="宋体" w:eastAsia="宋体" w:cs="宋体"/>
                <w:b w:val="0"/>
                <w:bCs w:val="0"/>
                <w:kern w:val="2"/>
                <w:sz w:val="21"/>
                <w:szCs w:val="24"/>
                <w:highlight w:val="none"/>
                <w:lang w:val="en-US" w:eastAsia="zh-CN" w:bidi="ar-SA"/>
              </w:rPr>
              <w:t>日至2022年</w:t>
            </w:r>
            <w:r>
              <w:rPr>
                <w:rFonts w:hint="eastAsia" w:ascii="宋体" w:hAnsi="宋体" w:cs="宋体"/>
                <w:b w:val="0"/>
                <w:bCs w:val="0"/>
                <w:kern w:val="2"/>
                <w:sz w:val="21"/>
                <w:szCs w:val="24"/>
                <w:highlight w:val="none"/>
                <w:lang w:val="en-US" w:eastAsia="zh-CN" w:bidi="ar-SA"/>
              </w:rPr>
              <w:t>7</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28</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4"/>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2</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 xml:space="preserve">7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29</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15</w:t>
            </w:r>
            <w:r>
              <w:rPr>
                <w:rFonts w:hint="eastAsia" w:ascii="宋体" w:hAnsi="宋体" w:cs="宋体"/>
                <w:color w:val="000000"/>
                <w:kern w:val="0"/>
                <w:sz w:val="24"/>
                <w:highlight w:val="none"/>
              </w:rPr>
              <w:t xml:space="preserve"> 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p>
      <w:pPr>
        <w:pStyle w:val="3"/>
        <w:jc w:val="both"/>
        <w:rPr>
          <w:rFonts w:hint="eastAsia"/>
          <w:highlight w:val="none"/>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r>
        <w:rPr>
          <w:rFonts w:hint="eastAsia" w:ascii="仿宋_GB2312" w:hAnsi="仿宋_GB2312" w:eastAsia="仿宋_GB2312" w:cs="仿宋_GB2312"/>
          <w:b/>
          <w:color w:val="000000"/>
          <w:kern w:val="0"/>
          <w:sz w:val="32"/>
          <w:szCs w:val="32"/>
          <w:highlight w:val="none"/>
          <w:lang w:val="en-US" w:eastAsia="zh-CN"/>
        </w:rPr>
        <w:t>混凝土</w:t>
      </w:r>
    </w:p>
    <w:tbl>
      <w:tblPr>
        <w:tblStyle w:val="10"/>
        <w:tblpPr w:leftFromText="180" w:rightFromText="180" w:vertAnchor="text" w:horzAnchor="page" w:tblpXSpec="center" w:tblpY="616"/>
        <w:tblOverlap w:val="never"/>
        <w:tblW w:w="86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287"/>
        <w:gridCol w:w="1242"/>
        <w:gridCol w:w="933"/>
        <w:gridCol w:w="1350"/>
        <w:gridCol w:w="1200"/>
        <w:gridCol w:w="900"/>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8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87" w:type="dxa"/>
            <w:tcBorders>
              <w:top w:val="single" w:color="auto"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材料名称</w:t>
            </w:r>
          </w:p>
        </w:tc>
        <w:tc>
          <w:tcPr>
            <w:tcW w:w="124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93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数量（暂定）</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材料单价（不含税）元</w:t>
            </w:r>
          </w:p>
        </w:tc>
        <w:tc>
          <w:tcPr>
            <w:tcW w:w="9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税率</w:t>
            </w:r>
          </w:p>
        </w:tc>
        <w:tc>
          <w:tcPr>
            <w:tcW w:w="118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材料单价（含税）元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商品混凝土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C15</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959.87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376.69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425.66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Theme="majorEastAsia" w:hAnsiTheme="majorEastAsia" w:eastAsiaTheme="majorEastAsia" w:cstheme="majorEastAsia"/>
                <w:color w:val="000000"/>
                <w:kern w:val="0"/>
                <w:sz w:val="22"/>
                <w:szCs w:val="22"/>
                <w:highlight w:val="none"/>
                <w:lang w:val="en-US" w:eastAsia="zh-CN" w:bidi="ar"/>
              </w:rPr>
              <w:t>商品混凝土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Theme="majorEastAsia" w:hAnsiTheme="majorEastAsia" w:eastAsiaTheme="majorEastAsia" w:cstheme="majorEastAsia"/>
                <w:color w:val="000000"/>
                <w:kern w:val="0"/>
                <w:sz w:val="22"/>
                <w:szCs w:val="22"/>
                <w:highlight w:val="none"/>
                <w:lang w:val="en-US" w:eastAsia="zh-CN" w:bidi="ar"/>
              </w:rPr>
              <w:t>C20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5705.98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397.18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rPr>
              <w:t>448.82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商品混凝土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Theme="majorEastAsia" w:hAnsiTheme="majorEastAsia" w:eastAsiaTheme="majorEastAsia" w:cstheme="majorEastAsia"/>
                <w:color w:val="000000"/>
                <w:kern w:val="0"/>
                <w:sz w:val="22"/>
                <w:szCs w:val="22"/>
                <w:highlight w:val="none"/>
                <w:lang w:val="en-US" w:eastAsia="zh-CN" w:bidi="ar"/>
              </w:rPr>
              <w:t>C25</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288.63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413.36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rPr>
              <w:t>467.09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商品混凝土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Theme="majorEastAsia" w:hAnsiTheme="majorEastAsia" w:eastAsiaTheme="majorEastAsia" w:cstheme="majorEastAsia"/>
                <w:color w:val="000000"/>
                <w:kern w:val="0"/>
                <w:sz w:val="22"/>
                <w:szCs w:val="22"/>
                <w:highlight w:val="none"/>
                <w:lang w:val="en-US" w:eastAsia="zh-CN" w:bidi="ar"/>
              </w:rPr>
              <w:t>C30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12151.56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429.90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rPr>
              <w:t>485.79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商品混凝土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Theme="majorEastAsia" w:hAnsiTheme="majorEastAsia" w:eastAsiaTheme="majorEastAsia" w:cstheme="majorEastAsia"/>
                <w:color w:val="000000"/>
                <w:kern w:val="0"/>
                <w:sz w:val="22"/>
                <w:szCs w:val="22"/>
                <w:highlight w:val="none"/>
                <w:lang w:val="en-US" w:eastAsia="zh-CN" w:bidi="ar"/>
              </w:rPr>
              <w:t>C35</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450.87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rPr>
              <w:t>509.48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商品混凝土</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Theme="majorEastAsia" w:hAnsiTheme="majorEastAsia" w:eastAsiaTheme="majorEastAsia" w:cstheme="majorEastAsia"/>
                <w:color w:val="000000"/>
                <w:kern w:val="0"/>
                <w:sz w:val="22"/>
                <w:szCs w:val="22"/>
                <w:highlight w:val="none"/>
                <w:lang w:val="en-US" w:eastAsia="zh-CN" w:bidi="ar"/>
              </w:rPr>
              <w:t>C40</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color w:val="000000"/>
                <w:kern w:val="0"/>
                <w:sz w:val="22"/>
                <w:szCs w:val="22"/>
                <w:highlight w:val="none"/>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472.78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rPr>
              <w:t>534.24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天泵泵送费</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Theme="majorEastAsia" w:hAnsiTheme="majorEastAsia" w:eastAsiaTheme="majorEastAsia" w:cstheme="majorEastAsia"/>
                <w:color w:val="000000"/>
                <w:kern w:val="0"/>
                <w:sz w:val="22"/>
                <w:szCs w:val="22"/>
                <w:highlight w:val="none"/>
                <w:lang w:val="en-US" w:eastAsia="zh-CN" w:bidi="ar"/>
              </w:rPr>
              <w:t>综合各类泵送高度</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4240.40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22.33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地泵泵送费</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100.00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17.48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2"/>
                <w:szCs w:val="22"/>
                <w:highlight w:val="none"/>
                <w:lang w:val="en-US" w:eastAsia="zh-CN" w:bidi="ar"/>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P6抗渗</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lang w:val="en-US" w:eastAsia="zh-CN" w:bidi="ar"/>
              </w:rPr>
              <w:t>满足图纸及甲方要求</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100.00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14.56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2"/>
                <w:szCs w:val="22"/>
                <w:highlight w:val="none"/>
                <w:lang w:val="en-US" w:eastAsia="zh-CN" w:bidi="ar"/>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P8抗渗</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满足图纸及甲方要求</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100.00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24.27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2"/>
                <w:szCs w:val="22"/>
                <w:highlight w:val="none"/>
                <w:lang w:val="en-US" w:eastAsia="zh-CN" w:bidi="ar"/>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细石</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lang w:val="en-US" w:eastAsia="zh-CN" w:bidi="ar"/>
              </w:rPr>
              <w:t>满足图纸及甲方要求，石子公</w:t>
            </w:r>
          </w:p>
          <w:p>
            <w:pPr>
              <w:keepNext w:val="0"/>
              <w:keepLines w:val="0"/>
              <w:widowControl/>
              <w:suppressLineNumbers w:val="0"/>
              <w:spacing w:line="240" w:lineRule="auto"/>
              <w:jc w:val="center"/>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lang w:val="en-US" w:eastAsia="zh-CN" w:bidi="ar"/>
              </w:rPr>
              <w:t>称粒径5-10mm</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000000"/>
                <w:kern w:val="0"/>
                <w:sz w:val="22"/>
                <w:szCs w:val="22"/>
                <w:highlight w:val="none"/>
                <w:lang w:val="en-US" w:eastAsia="zh-CN" w:bidi="ar"/>
              </w:rPr>
              <w:t>155.62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14.56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16.46</w:t>
            </w:r>
          </w:p>
        </w:tc>
      </w:tr>
    </w:tbl>
    <w:p>
      <w:pPr>
        <w:pStyle w:val="2"/>
        <w:ind w:left="0" w:leftChars="0" w:firstLine="0" w:firstLine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p>
    <w:p>
      <w:pPr>
        <w:numPr>
          <w:ilvl w:val="0"/>
          <w:numId w:val="2"/>
        </w:numPr>
        <w:spacing w:line="360" w:lineRule="auto"/>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kern w:val="2"/>
          <w:sz w:val="32"/>
          <w:szCs w:val="32"/>
          <w:highlight w:val="none"/>
          <w:lang w:val="en-US" w:eastAsia="zh-CN" w:bidi="ar-SA"/>
        </w:rPr>
        <w:t>见上诉清单。</w:t>
      </w:r>
    </w:p>
    <w:p>
      <w:pPr>
        <w:numPr>
          <w:ilvl w:val="0"/>
          <w:numId w:val="2"/>
        </w:numPr>
        <w:spacing w:line="360" w:lineRule="auto"/>
        <w:ind w:left="0" w:leftChars="0" w:firstLine="0" w:firstLine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产品质量：</w:t>
      </w:r>
    </w:p>
    <w:p>
      <w:pPr>
        <w:numPr>
          <w:ilvl w:val="0"/>
          <w:numId w:val="0"/>
        </w:numPr>
        <w:spacing w:line="360" w:lineRule="auto"/>
        <w:ind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所供砼质量符合符合中华人民共和国国家标准《混凝土质量控制标准》（GB50164-2011）、《预拌混凝土》（GB/T14902-2012），建设工程行业标准《普通混凝土配合比设计技术规程》（JGJ/55-2011）；所供砼外加剂符合中华人民共和国国家标准《混凝土外加剂》（GB8076-2008）、《混凝土外加剂应用技术规范》（GB50119-2013）、《混凝土外加剂中释放氨的限量》（GB18588-2001）；所用混凝土泵应符合中华人民共和国国家标准《混凝土泵》（GB/T13333-2018）。合同执行过程中若出现新的国家标准，则以更新后的标准为准。如因乙方所供混凝土的质量原因造成甲方指定项目发生质量问题的，乙方应无条件承担一切法律责任，并赔偿甲方制定项目因此而造成的全部直接经济损失和由于项目需返工而产生的工程延期违约责任。在工程保修期内甲方保留砼质量追究的权利。</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四、厂家品牌：</w:t>
      </w:r>
      <w:r>
        <w:rPr>
          <w:rFonts w:hint="eastAsia" w:ascii="仿宋_GB2312" w:hAnsi="仿宋_GB2312" w:eastAsia="仿宋_GB2312" w:cs="仿宋_GB2312"/>
          <w:kern w:val="2"/>
          <w:sz w:val="32"/>
          <w:szCs w:val="32"/>
          <w:highlight w:val="none"/>
          <w:lang w:val="en-US" w:eastAsia="zh-CN" w:bidi="ar-SA"/>
        </w:rPr>
        <w:t>无。</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货物到达施工现场后，甲方应根据乙方提供的的单据，按实到货物的品种、规格进行数量检点，数量验收可以按照各种材料不同的特点和计量单位进行验收，方法包括点数、过磅、检尺、量方等，无论采用何种方法，所有货物进场前必须通过物资称重系统复检记录原始进场信息并留存影像资料。未经数量验收，乙方不得进场卸货。</w:t>
      </w:r>
    </w:p>
    <w:tbl>
      <w:tblPr>
        <w:tblStyle w:val="11"/>
        <w:tblW w:w="7655"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2551"/>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10"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货物名称</w:t>
            </w:r>
          </w:p>
        </w:tc>
        <w:tc>
          <w:tcPr>
            <w:tcW w:w="2551"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规格型号</w:t>
            </w:r>
          </w:p>
        </w:tc>
        <w:tc>
          <w:tcPr>
            <w:tcW w:w="2694"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容重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10" w:type="dxa"/>
            <w:vMerge w:val="restart"/>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预拌混凝土</w:t>
            </w:r>
          </w:p>
        </w:tc>
        <w:tc>
          <w:tcPr>
            <w:tcW w:w="2551"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C20</w:t>
            </w:r>
          </w:p>
        </w:tc>
        <w:tc>
          <w:tcPr>
            <w:tcW w:w="2694"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2.33t/m³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10" w:type="dxa"/>
            <w:vMerge w:val="continue"/>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p>
        </w:tc>
        <w:tc>
          <w:tcPr>
            <w:tcW w:w="2551"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C25</w:t>
            </w:r>
          </w:p>
        </w:tc>
        <w:tc>
          <w:tcPr>
            <w:tcW w:w="2694"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2.34t/m³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10" w:type="dxa"/>
            <w:vMerge w:val="continue"/>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p>
        </w:tc>
        <w:tc>
          <w:tcPr>
            <w:tcW w:w="2551"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C30</w:t>
            </w:r>
          </w:p>
        </w:tc>
        <w:tc>
          <w:tcPr>
            <w:tcW w:w="2694"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2.35t/m³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10" w:type="dxa"/>
            <w:vMerge w:val="continue"/>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p>
        </w:tc>
        <w:tc>
          <w:tcPr>
            <w:tcW w:w="2551"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C35</w:t>
            </w:r>
          </w:p>
        </w:tc>
        <w:tc>
          <w:tcPr>
            <w:tcW w:w="2694"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2.36t/m³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10" w:type="dxa"/>
            <w:vMerge w:val="continue"/>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p>
        </w:tc>
        <w:tc>
          <w:tcPr>
            <w:tcW w:w="2551"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C40</w:t>
            </w:r>
          </w:p>
        </w:tc>
        <w:tc>
          <w:tcPr>
            <w:tcW w:w="2694"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2.37t/m³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10" w:type="dxa"/>
            <w:vMerge w:val="continue"/>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p>
        </w:tc>
        <w:tc>
          <w:tcPr>
            <w:tcW w:w="2551"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C45</w:t>
            </w:r>
          </w:p>
        </w:tc>
        <w:tc>
          <w:tcPr>
            <w:tcW w:w="2694" w:type="dxa"/>
            <w:noWrap w:val="0"/>
            <w:vAlign w:val="center"/>
          </w:tcPr>
          <w:p>
            <w:pPr>
              <w:spacing w:line="360" w:lineRule="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2.38t/m³</w:t>
            </w:r>
          </w:p>
        </w:tc>
      </w:tr>
    </w:tbl>
    <w:p>
      <w:pPr>
        <w:spacing w:line="360" w:lineRule="auto"/>
        <w:rPr>
          <w:rFonts w:hint="eastAsia" w:ascii="仿宋_GB2312" w:hAnsi="仿宋_GB2312" w:eastAsia="仿宋_GB2312" w:cs="仿宋_GB2312"/>
          <w:kern w:val="2"/>
          <w:sz w:val="32"/>
          <w:szCs w:val="32"/>
          <w:highlight w:val="none"/>
          <w:lang w:val="en-US" w:eastAsia="zh-CN" w:bidi="ar-SA"/>
        </w:rPr>
      </w:pPr>
    </w:p>
    <w:p>
      <w:pPr>
        <w:pStyle w:val="2"/>
        <w:rPr>
          <w:rFonts w:hint="eastAsia"/>
          <w:highlight w:val="none"/>
          <w:lang w:val="en-US" w:eastAsia="zh-CN"/>
        </w:rPr>
      </w:pPr>
    </w:p>
    <w:p>
      <w:pPr>
        <w:spacing w:line="360" w:lineRule="auto"/>
        <w:rPr>
          <w:rFonts w:hint="default" w:ascii="仿宋_GB2312" w:hAnsi="仿宋_GB2312" w:eastAsia="仿宋_GB2312" w:cs="仿宋_GB2312"/>
          <w:b/>
          <w:bCs/>
          <w:sz w:val="32"/>
          <w:szCs w:val="32"/>
          <w:highlight w:val="none"/>
          <w:lang w:val="en-US"/>
        </w:rPr>
      </w:pPr>
      <w:r>
        <w:rPr>
          <w:rFonts w:hint="eastAsia" w:ascii="仿宋_GB2312" w:hAnsi="仿宋_GB2312" w:eastAsia="仿宋_GB2312" w:cs="仿宋_GB2312"/>
          <w:b/>
          <w:bCs/>
          <w:sz w:val="32"/>
          <w:szCs w:val="32"/>
          <w:highlight w:val="none"/>
        </w:rPr>
        <w:t>六、</w:t>
      </w:r>
      <w:r>
        <w:rPr>
          <w:rFonts w:hint="eastAsia" w:ascii="仿宋_GB2312" w:hAnsi="仿宋_GB2312" w:eastAsia="仿宋_GB2312" w:cs="仿宋_GB2312"/>
          <w:b/>
          <w:bCs/>
          <w:sz w:val="32"/>
          <w:szCs w:val="32"/>
          <w:highlight w:val="none"/>
          <w:lang w:val="en-US" w:eastAsia="zh-CN"/>
        </w:rPr>
        <w:t>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highlight w:val="none"/>
          <w:lang w:val="en-US" w:eastAsia="zh-CN" w:bidi="ar-SA"/>
        </w:rPr>
        <w:t>甲方每次提前【24】小时将需要的产品规格、数量及交货地点、日期等以【书面、传真、邮件或平台下单】的方式将砼需求计划通知乙方（通知应包括所需砼的强度等级、数量及浇筑时间、部位和方式等），乙方应按照通知要求送货至甲方指定的砼施工现场，并按要求将砼卸入甲方提供的输送泵内或非泵送的指定地点。</w:t>
      </w:r>
    </w:p>
    <w:p>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2"/>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2"/>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2"/>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2"/>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）企业资质证书；</w:t>
      </w:r>
    </w:p>
    <w:p>
      <w:pPr>
        <w:pStyle w:val="2"/>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r>
        <w:rPr>
          <w:rFonts w:hint="eastAsia" w:ascii="仿宋_GB2312" w:hAnsi="仿宋_GB2312" w:eastAsia="仿宋_GB2312" w:cs="仿宋_GB2312"/>
          <w:sz w:val="32"/>
          <w:szCs w:val="32"/>
          <w:highlight w:val="none"/>
          <w:lang w:val="en-US" w:eastAsia="zh-CN"/>
        </w:rPr>
        <w:t xml:space="preserve"> </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）类似业绩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以签订合同为准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递交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在三家及以上时，按以下程序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bookmarkStart w:id="13" w:name="_GoBack"/>
      <w:bookmarkEnd w:id="13"/>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）查验各</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人开启和查验各参加评审</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人开启各</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4、付款方式：进度款按月支付。乙方每月26日向甲方报送上月26日至本月25日的供应物资对账单，甲方于次月10日前审核完成，25日前支付已审核的该期货款的70%；分包合同完工经总包单位验收合格后支付至已完工程总额的85%；工程竣工验收合格且分包结算完成后3个月内支付至结算总额的97%；质量保证期满后结清余款</w:t>
      </w:r>
      <w:r>
        <w:rPr>
          <w:rFonts w:hint="eastAsia" w:ascii="仿宋_GB2312" w:hAnsi="仿宋_GB2312" w:eastAsia="仿宋_GB2312" w:cs="仿宋_GB2312"/>
          <w:color w:val="000000"/>
          <w:kern w:val="0"/>
          <w:sz w:val="32"/>
          <w:szCs w:val="32"/>
          <w:highlight w:val="none"/>
          <w:lang w:eastAsia="zh-CN"/>
        </w:rPr>
        <w:t>。</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4"/>
        <w:numPr>
          <w:ilvl w:val="0"/>
          <w:numId w:val="3"/>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26048"/>
      <w:bookmarkStart w:id="8"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4"/>
        </w:numPr>
        <w:jc w:val="center"/>
        <w:rPr>
          <w:rFonts w:hint="eastAsia"/>
          <w:highlight w:val="none"/>
          <w:lang w:val="en-US" w:eastAsia="zh-CN"/>
        </w:rPr>
      </w:pPr>
      <w:r>
        <w:rPr>
          <w:rFonts w:hint="eastAsia"/>
          <w:highlight w:val="none"/>
          <w:lang w:val="en-US" w:eastAsia="zh-CN"/>
        </w:rPr>
        <w:t>报价单</w:t>
      </w:r>
    </w:p>
    <w:p>
      <w:pPr>
        <w:widowControl w:val="0"/>
        <w:numPr>
          <w:ilvl w:val="0"/>
          <w:numId w:val="0"/>
        </w:numPr>
        <w:jc w:val="both"/>
        <w:rPr>
          <w:rFonts w:hint="default"/>
          <w:highlight w:val="none"/>
          <w:lang w:val="en-US" w:eastAsia="zh-CN"/>
        </w:rPr>
      </w:pPr>
    </w:p>
    <w:p>
      <w:pPr>
        <w:spacing w:line="432"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668"/>
        <w:gridCol w:w="951"/>
        <w:gridCol w:w="1071"/>
        <w:gridCol w:w="1171"/>
        <w:gridCol w:w="1013"/>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6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品目号</w:t>
            </w:r>
          </w:p>
        </w:tc>
        <w:tc>
          <w:tcPr>
            <w:tcW w:w="1565"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55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62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总报价</w:t>
            </w:r>
          </w:p>
        </w:tc>
        <w:tc>
          <w:tcPr>
            <w:tcW w:w="687"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59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w:t>
            </w:r>
          </w:p>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地点</w:t>
            </w:r>
          </w:p>
        </w:tc>
        <w:tc>
          <w:tcPr>
            <w:tcW w:w="501"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92" w:hRule="atLeast"/>
          <w:jc w:val="center"/>
        </w:trPr>
        <w:tc>
          <w:tcPr>
            <w:tcW w:w="464" w:type="pct"/>
            <w:noWrap w:val="0"/>
            <w:vAlign w:val="top"/>
          </w:tcPr>
          <w:p>
            <w:pPr>
              <w:spacing w:line="432" w:lineRule="auto"/>
              <w:rPr>
                <w:rFonts w:hint="eastAsia" w:ascii="仿宋" w:hAnsi="仿宋" w:eastAsia="仿宋" w:cs="仿宋"/>
                <w:sz w:val="28"/>
                <w:highlight w:val="none"/>
              </w:rPr>
            </w:pPr>
          </w:p>
        </w:tc>
        <w:tc>
          <w:tcPr>
            <w:tcW w:w="1565" w:type="pct"/>
            <w:noWrap w:val="0"/>
            <w:vAlign w:val="top"/>
          </w:tcPr>
          <w:p>
            <w:pPr>
              <w:spacing w:line="432" w:lineRule="auto"/>
              <w:rPr>
                <w:rFonts w:hint="eastAsia" w:ascii="仿宋" w:hAnsi="仿宋" w:eastAsia="仿宋" w:cs="仿宋"/>
                <w:sz w:val="28"/>
                <w:highlight w:val="none"/>
              </w:rPr>
            </w:pPr>
          </w:p>
        </w:tc>
        <w:tc>
          <w:tcPr>
            <w:tcW w:w="558" w:type="pct"/>
            <w:noWrap w:val="0"/>
            <w:vAlign w:val="top"/>
          </w:tcPr>
          <w:p>
            <w:pPr>
              <w:spacing w:line="432" w:lineRule="auto"/>
              <w:rPr>
                <w:rFonts w:hint="eastAsia" w:ascii="仿宋" w:hAnsi="仿宋" w:eastAsia="仿宋" w:cs="仿宋"/>
                <w:sz w:val="28"/>
                <w:highlight w:val="none"/>
              </w:rPr>
            </w:pPr>
          </w:p>
        </w:tc>
        <w:tc>
          <w:tcPr>
            <w:tcW w:w="628" w:type="pct"/>
            <w:noWrap w:val="0"/>
            <w:vAlign w:val="top"/>
          </w:tcPr>
          <w:p>
            <w:pPr>
              <w:spacing w:line="432" w:lineRule="auto"/>
              <w:rPr>
                <w:rFonts w:hint="eastAsia" w:ascii="仿宋" w:hAnsi="仿宋" w:eastAsia="仿宋" w:cs="仿宋"/>
                <w:sz w:val="28"/>
                <w:highlight w:val="none"/>
              </w:rPr>
            </w:pPr>
          </w:p>
        </w:tc>
        <w:tc>
          <w:tcPr>
            <w:tcW w:w="687" w:type="pct"/>
            <w:noWrap w:val="0"/>
            <w:vAlign w:val="top"/>
          </w:tcPr>
          <w:p>
            <w:pPr>
              <w:spacing w:line="432" w:lineRule="auto"/>
              <w:rPr>
                <w:rFonts w:hint="eastAsia" w:ascii="仿宋" w:hAnsi="仿宋" w:eastAsia="仿宋" w:cs="仿宋"/>
                <w:sz w:val="28"/>
                <w:highlight w:val="none"/>
              </w:rPr>
            </w:pPr>
          </w:p>
        </w:tc>
        <w:tc>
          <w:tcPr>
            <w:tcW w:w="594" w:type="pct"/>
            <w:noWrap w:val="0"/>
            <w:vAlign w:val="top"/>
          </w:tcPr>
          <w:p>
            <w:pPr>
              <w:spacing w:line="432" w:lineRule="auto"/>
              <w:rPr>
                <w:rFonts w:hint="eastAsia" w:ascii="仿宋" w:hAnsi="仿宋" w:eastAsia="仿宋" w:cs="仿宋"/>
                <w:sz w:val="28"/>
                <w:highlight w:val="none"/>
              </w:rPr>
            </w:pPr>
          </w:p>
        </w:tc>
        <w:tc>
          <w:tcPr>
            <w:tcW w:w="501" w:type="pct"/>
            <w:noWrap w:val="0"/>
            <w:vAlign w:val="top"/>
          </w:tcPr>
          <w:p>
            <w:pPr>
              <w:spacing w:line="432" w:lineRule="auto"/>
              <w:rPr>
                <w:rFonts w:hint="eastAsia" w:ascii="仿宋" w:hAnsi="仿宋" w:eastAsia="仿宋" w:cs="仿宋"/>
                <w:sz w:val="28"/>
                <w:highlight w:val="none"/>
              </w:rPr>
            </w:pPr>
          </w:p>
        </w:tc>
      </w:tr>
    </w:tbl>
    <w:p>
      <w:pPr>
        <w:spacing w:line="460" w:lineRule="exact"/>
        <w:ind w:left="-2" w:leftChars="-50" w:hanging="103" w:hangingChars="43"/>
        <w:rPr>
          <w:rFonts w:hint="eastAsia" w:ascii="仿宋" w:hAnsi="仿宋" w:eastAsia="仿宋" w:cs="仿宋"/>
          <w:i/>
          <w:sz w:val="24"/>
          <w:highlight w:val="none"/>
        </w:rPr>
      </w:pPr>
    </w:p>
    <w:p>
      <w:pPr>
        <w:spacing w:line="460" w:lineRule="exact"/>
        <w:ind w:left="-2" w:leftChars="-50" w:hanging="103" w:hangingChars="43"/>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60" w:lineRule="exact"/>
        <w:rPr>
          <w:rFonts w:hint="default"/>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2、</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07"/>
        <w:gridCol w:w="1530"/>
        <w:gridCol w:w="1436"/>
        <w:gridCol w:w="1999"/>
        <w:gridCol w:w="1766"/>
        <w:gridCol w:w="2624"/>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07"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530"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143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999" w:type="dxa"/>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暂定</w:t>
            </w:r>
            <w:r>
              <w:rPr>
                <w:rFonts w:hint="eastAsia" w:ascii="仿宋" w:hAnsi="仿宋" w:eastAsia="仿宋" w:cs="仿宋"/>
                <w:sz w:val="24"/>
                <w:highlight w:val="none"/>
              </w:rPr>
              <w:t>数量</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lang w:eastAsia="zh-CN"/>
              </w:rPr>
              <w:t>）</w:t>
            </w:r>
          </w:p>
        </w:tc>
        <w:tc>
          <w:tcPr>
            <w:tcW w:w="176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2624" w:type="dxa"/>
            <w:noWrap w:val="0"/>
            <w:vAlign w:val="center"/>
          </w:tcPr>
          <w:p>
            <w:pPr>
              <w:spacing w:line="460" w:lineRule="exact"/>
              <w:jc w:val="center"/>
              <w:rPr>
                <w:rFonts w:hint="eastAsia" w:ascii="仿宋" w:hAnsi="仿宋" w:eastAsia="仿宋" w:cs="仿宋"/>
                <w:color w:val="FF0000"/>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总价（元）</w:t>
            </w:r>
          </w:p>
        </w:tc>
        <w:tc>
          <w:tcPr>
            <w:tcW w:w="2633"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b/>
                <w:bCs/>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91" w:type="dxa"/>
            <w:gridSpan w:val="5"/>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color w:val="000000"/>
                <w:sz w:val="24"/>
                <w:highlight w:val="none"/>
              </w:rPr>
              <w:t xml:space="preserve">合     计：（大写）                                      </w:t>
            </w:r>
          </w:p>
        </w:tc>
        <w:tc>
          <w:tcPr>
            <w:tcW w:w="7023" w:type="dxa"/>
            <w:gridSpan w:val="3"/>
            <w:noWrap w:val="0"/>
            <w:vAlign w:val="center"/>
          </w:tcPr>
          <w:p>
            <w:pPr>
              <w:spacing w:line="4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¥：（小写）</w:t>
            </w: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5"/>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5"/>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6"/>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3、技术文件部分</w:t>
      </w:r>
    </w:p>
    <w:p>
      <w:pPr>
        <w:pStyle w:val="4"/>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rPr>
          <w:rFonts w:hint="eastAsia" w:ascii="仿宋" w:hAnsi="仿宋" w:eastAsia="仿宋" w:cs="仿宋"/>
          <w:b w:val="0"/>
          <w:bCs w:val="0"/>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highlight w:val="none"/>
          <w:lang w:val="en-US" w:eastAsia="zh-CN" w:bidi="ar-SA"/>
        </w:rPr>
        <w:t>3.2企业资质证书复印件加盖公章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3.3法定代表人授权委托书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4"/>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四、商务文件组成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4.1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4.2 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B5360820"/>
    <w:multiLevelType w:val="singleLevel"/>
    <w:tmpl w:val="B5360820"/>
    <w:lvl w:ilvl="0" w:tentative="0">
      <w:start w:val="2"/>
      <w:numFmt w:val="decimal"/>
      <w:suff w:val="nothing"/>
      <w:lvlText w:val="%1、"/>
      <w:lvlJc w:val="left"/>
    </w:lvl>
  </w:abstractNum>
  <w:abstractNum w:abstractNumId="2">
    <w:nsid w:val="DE31C6BB"/>
    <w:multiLevelType w:val="singleLevel"/>
    <w:tmpl w:val="DE31C6BB"/>
    <w:lvl w:ilvl="0" w:tentative="0">
      <w:start w:val="1"/>
      <w:numFmt w:val="decimal"/>
      <w:suff w:val="nothing"/>
      <w:lvlText w:val="%1、"/>
      <w:lvlJc w:val="left"/>
    </w:lvl>
  </w:abstractNum>
  <w:abstractNum w:abstractNumId="3">
    <w:nsid w:val="208FE124"/>
    <w:multiLevelType w:val="singleLevel"/>
    <w:tmpl w:val="208FE124"/>
    <w:lvl w:ilvl="0" w:tentative="0">
      <w:start w:val="2"/>
      <w:numFmt w:val="chineseCounting"/>
      <w:suff w:val="nothing"/>
      <w:lvlText w:val="%1、"/>
      <w:lvlJc w:val="left"/>
      <w:rPr>
        <w:rFonts w:hint="eastAsia"/>
      </w:rPr>
    </w:lvl>
  </w:abstractNum>
  <w:abstractNum w:abstractNumId="4">
    <w:nsid w:val="57B8218A"/>
    <w:multiLevelType w:val="singleLevel"/>
    <w:tmpl w:val="57B8218A"/>
    <w:lvl w:ilvl="0" w:tentative="0">
      <w:start w:val="12"/>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5FD6C3B"/>
    <w:rsid w:val="07F4170D"/>
    <w:rsid w:val="080C00CE"/>
    <w:rsid w:val="0B542AE8"/>
    <w:rsid w:val="164139E5"/>
    <w:rsid w:val="1A221EEC"/>
    <w:rsid w:val="1B6F5E48"/>
    <w:rsid w:val="1F1F7E61"/>
    <w:rsid w:val="2B00193E"/>
    <w:rsid w:val="2F6E275E"/>
    <w:rsid w:val="37114C06"/>
    <w:rsid w:val="38903BC1"/>
    <w:rsid w:val="494F6C44"/>
    <w:rsid w:val="4A9E3029"/>
    <w:rsid w:val="4D6C7200"/>
    <w:rsid w:val="546F27C6"/>
    <w:rsid w:val="571C7114"/>
    <w:rsid w:val="58713CE0"/>
    <w:rsid w:val="62571BBC"/>
    <w:rsid w:val="64386E3F"/>
    <w:rsid w:val="646D3B32"/>
    <w:rsid w:val="69731B12"/>
    <w:rsid w:val="7242754A"/>
    <w:rsid w:val="797D1BBD"/>
    <w:rsid w:val="7E99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autoSpaceDE w:val="0"/>
      <w:autoSpaceDN w:val="0"/>
      <w:adjustRightInd w:val="0"/>
      <w:ind w:left="1" w:firstLine="480" w:firstLineChars="200"/>
    </w:pPr>
    <w:rPr>
      <w:kern w:val="0"/>
      <w:sz w:val="24"/>
    </w:rPr>
  </w:style>
  <w:style w:type="paragraph" w:styleId="5">
    <w:name w:val="Normal Indent"/>
    <w:basedOn w:val="1"/>
    <w:next w:val="1"/>
    <w:qFormat/>
    <w:uiPriority w:val="0"/>
    <w:pPr>
      <w:ind w:firstLine="420"/>
    </w:pPr>
  </w:style>
  <w:style w:type="paragraph" w:styleId="6">
    <w:name w:val="Body Text"/>
    <w:basedOn w:val="1"/>
    <w:next w:val="7"/>
    <w:qFormat/>
    <w:uiPriority w:val="0"/>
    <w:pPr>
      <w:spacing w:after="120" w:afterLines="0"/>
    </w:p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3246</Words>
  <Characters>3707</Characters>
  <Lines>21</Lines>
  <Paragraphs>6</Paragraphs>
  <TotalTime>15</TotalTime>
  <ScaleCrop>false</ScaleCrop>
  <LinksUpToDate>false</LinksUpToDate>
  <CharactersWithSpaces>4494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2022-07-21T07:06:00Z</cp:lastPrinted>
  <dcterms:modified xsi:type="dcterms:W3CDTF">2022-07-25T06:27:33Z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28CBA5D054AF490D819391BB9E2D8C95</vt:lpwstr>
  </property>
</Properties>
</file>